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33"/>
      </w:tblGrid>
      <w:tr w:rsidR="00664BAF" w:rsidTr="00664BAF">
        <w:tc>
          <w:tcPr>
            <w:tcW w:w="7083" w:type="dxa"/>
            <w:vAlign w:val="center"/>
          </w:tcPr>
          <w:p w:rsidR="00664BAF" w:rsidRDefault="00664BAF" w:rsidP="00664BAF">
            <w:pPr>
              <w:pStyle w:val="Title"/>
              <w:rPr>
                <w:color w:val="808080" w:themeColor="background1" w:themeShade="80"/>
              </w:rPr>
            </w:pPr>
            <w:r>
              <w:rPr>
                <w:color w:val="808080" w:themeColor="background1" w:themeShade="80"/>
              </w:rPr>
              <w:t xml:space="preserve">Sample </w:t>
            </w:r>
            <w:r w:rsidRPr="00E14DA2">
              <w:rPr>
                <w:color w:val="808080" w:themeColor="background1" w:themeShade="80"/>
              </w:rPr>
              <w:t>Guiding Principles for working together as a board</w:t>
            </w:r>
          </w:p>
        </w:tc>
        <w:tc>
          <w:tcPr>
            <w:tcW w:w="1933" w:type="dxa"/>
          </w:tcPr>
          <w:p w:rsidR="00664BAF" w:rsidRDefault="00AE52A1" w:rsidP="005F17F7">
            <w:pPr>
              <w:pStyle w:val="Title"/>
              <w:jc w:val="center"/>
              <w:rPr>
                <w:color w:val="808080" w:themeColor="background1" w:themeShade="80"/>
              </w:rPr>
            </w:pPr>
            <w:hyperlink r:id="rId7" w:history="1">
              <w:r>
                <w:rPr>
                  <w:color w:val="808080" w:themeColor="background1" w:themeShade="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88.5pt">
                    <v:imagedata r:id="rId8" o:title="Think_Tank_Consulting_RGB-150w"/>
                  </v:shape>
                </w:pict>
              </w:r>
            </w:hyperlink>
          </w:p>
        </w:tc>
      </w:tr>
    </w:tbl>
    <w:p w:rsidR="00E14DA2" w:rsidRPr="00E14DA2" w:rsidRDefault="00E14DA2" w:rsidP="00E14DA2"/>
    <w:p w:rsidR="005F17F7" w:rsidRDefault="005F17F7" w:rsidP="005F17F7"/>
    <w:p w:rsidR="00312F01" w:rsidRPr="005F17F7" w:rsidRDefault="00312F01" w:rsidP="005F17F7"/>
    <w:p w:rsidR="005E263F" w:rsidRPr="00312F01" w:rsidRDefault="005E263F" w:rsidP="005E263F">
      <w:pPr>
        <w:numPr>
          <w:ilvl w:val="0"/>
          <w:numId w:val="1"/>
        </w:numPr>
        <w:overflowPunct/>
        <w:autoSpaceDE/>
        <w:autoSpaceDN/>
        <w:adjustRightInd/>
        <w:spacing w:after="200" w:line="276" w:lineRule="auto"/>
        <w:textAlignment w:val="auto"/>
        <w:rPr>
          <w:rFonts w:asciiTheme="minorHAnsi" w:eastAsiaTheme="minorEastAsia" w:hAnsiTheme="minorHAnsi" w:cstheme="minorHAnsi"/>
          <w:sz w:val="24"/>
          <w:szCs w:val="22"/>
          <w:lang w:val="en-NZ" w:eastAsia="en-NZ"/>
        </w:rPr>
      </w:pPr>
      <w:r w:rsidRPr="00312F01">
        <w:rPr>
          <w:rFonts w:asciiTheme="minorHAnsi" w:eastAsiaTheme="minorEastAsia" w:hAnsiTheme="minorHAnsi" w:cstheme="minorHAnsi"/>
          <w:b/>
          <w:i/>
          <w:sz w:val="24"/>
          <w:szCs w:val="22"/>
          <w:lang w:val="en-NZ" w:eastAsia="en-NZ"/>
        </w:rPr>
        <w:t xml:space="preserve">We act in the best interest of </w:t>
      </w:r>
      <w:r w:rsidR="005F17F7" w:rsidRPr="00312F01">
        <w:rPr>
          <w:rFonts w:asciiTheme="minorHAnsi" w:eastAsiaTheme="minorEastAsia" w:hAnsiTheme="minorHAnsi" w:cstheme="minorHAnsi"/>
          <w:b/>
          <w:i/>
          <w:sz w:val="24"/>
          <w:szCs w:val="22"/>
          <w:lang w:val="en-NZ" w:eastAsia="en-NZ"/>
        </w:rPr>
        <w:t>our organisation</w:t>
      </w:r>
      <w:r w:rsidRPr="00312F01">
        <w:rPr>
          <w:rFonts w:asciiTheme="minorHAnsi" w:eastAsiaTheme="minorEastAsia" w:hAnsiTheme="minorHAnsi" w:cstheme="minorHAnsi"/>
          <w:i/>
          <w:sz w:val="24"/>
          <w:szCs w:val="22"/>
          <w:lang w:val="en-NZ" w:eastAsia="en-NZ"/>
        </w:rPr>
        <w:t>:</w:t>
      </w:r>
      <w:r w:rsidRPr="00312F01">
        <w:rPr>
          <w:rFonts w:asciiTheme="minorHAnsi" w:eastAsiaTheme="minorEastAsia" w:hAnsiTheme="minorHAnsi" w:cstheme="minorHAnsi"/>
          <w:sz w:val="24"/>
          <w:szCs w:val="22"/>
          <w:lang w:val="en-NZ" w:eastAsia="en-NZ"/>
        </w:rPr>
        <w:t xml:space="preserve"> This is the golden rule of governance</w:t>
      </w:r>
      <w:r w:rsidR="00C92502" w:rsidRPr="00312F01">
        <w:rPr>
          <w:rFonts w:asciiTheme="minorHAnsi" w:eastAsiaTheme="minorEastAsia" w:hAnsiTheme="minorHAnsi" w:cstheme="minorHAnsi"/>
          <w:sz w:val="24"/>
          <w:szCs w:val="22"/>
          <w:lang w:val="en-NZ" w:eastAsia="en-NZ"/>
        </w:rPr>
        <w:t xml:space="preserve">; under </w:t>
      </w:r>
      <w:hyperlink r:id="rId9" w:history="1">
        <w:r w:rsidR="00C92502" w:rsidRPr="00312F01">
          <w:rPr>
            <w:rStyle w:val="Hyperlink"/>
            <w:rFonts w:asciiTheme="minorHAnsi" w:eastAsiaTheme="minorEastAsia" w:hAnsiTheme="minorHAnsi" w:cstheme="minorHAnsi"/>
            <w:sz w:val="24"/>
            <w:szCs w:val="22"/>
            <w:lang w:val="en-NZ" w:eastAsia="en-NZ"/>
          </w:rPr>
          <w:t>New Zealand law</w:t>
        </w:r>
      </w:hyperlink>
      <w:r w:rsidR="00C92502" w:rsidRPr="00312F01">
        <w:rPr>
          <w:rFonts w:asciiTheme="minorHAnsi" w:eastAsiaTheme="minorEastAsia" w:hAnsiTheme="minorHAnsi" w:cstheme="minorHAnsi"/>
          <w:sz w:val="24"/>
          <w:szCs w:val="22"/>
          <w:lang w:val="en-NZ" w:eastAsia="en-NZ"/>
        </w:rPr>
        <w:t xml:space="preserve"> we must </w:t>
      </w:r>
      <w:r w:rsidRPr="00312F01">
        <w:rPr>
          <w:rFonts w:asciiTheme="minorHAnsi" w:eastAsiaTheme="minorEastAsia" w:hAnsiTheme="minorHAnsi" w:cstheme="minorHAnsi"/>
          <w:sz w:val="24"/>
          <w:szCs w:val="22"/>
          <w:lang w:val="en-NZ" w:eastAsia="en-NZ"/>
        </w:rPr>
        <w:t xml:space="preserve">“act in good faith and in what the trustee believes to be the best interests of the company.”  </w:t>
      </w:r>
      <w:r w:rsidR="005F17F7" w:rsidRPr="00312F01">
        <w:rPr>
          <w:rFonts w:asciiTheme="minorHAnsi" w:eastAsiaTheme="minorEastAsia" w:hAnsiTheme="minorHAnsi" w:cstheme="minorHAnsi"/>
          <w:sz w:val="24"/>
          <w:szCs w:val="22"/>
          <w:lang w:val="en-NZ" w:eastAsia="en-NZ"/>
        </w:rPr>
        <w:t xml:space="preserve">This can get tricky </w:t>
      </w:r>
      <w:r w:rsidR="00CD5842" w:rsidRPr="00312F01">
        <w:rPr>
          <w:rFonts w:asciiTheme="minorHAnsi" w:eastAsiaTheme="minorEastAsia" w:hAnsiTheme="minorHAnsi" w:cstheme="minorHAnsi"/>
          <w:sz w:val="24"/>
          <w:szCs w:val="22"/>
          <w:lang w:val="en-NZ" w:eastAsia="en-NZ"/>
        </w:rPr>
        <w:t xml:space="preserve">when we have divided loyalties, </w:t>
      </w:r>
      <w:proofErr w:type="spellStart"/>
      <w:r w:rsidR="00CD5842" w:rsidRPr="00312F01">
        <w:rPr>
          <w:rFonts w:asciiTheme="minorHAnsi" w:eastAsiaTheme="minorEastAsia" w:hAnsiTheme="minorHAnsi" w:cstheme="minorHAnsi"/>
          <w:sz w:val="24"/>
          <w:szCs w:val="22"/>
          <w:lang w:val="en-NZ" w:eastAsia="en-NZ"/>
        </w:rPr>
        <w:t>eg</w:t>
      </w:r>
      <w:proofErr w:type="spellEnd"/>
      <w:r w:rsidR="00CD5842" w:rsidRPr="00312F01">
        <w:rPr>
          <w:rFonts w:asciiTheme="minorHAnsi" w:eastAsiaTheme="minorEastAsia" w:hAnsiTheme="minorHAnsi" w:cstheme="minorHAnsi"/>
          <w:sz w:val="24"/>
          <w:szCs w:val="22"/>
          <w:lang w:val="en-NZ" w:eastAsia="en-NZ"/>
        </w:rPr>
        <w:t xml:space="preserve"> when </w:t>
      </w:r>
      <w:r w:rsidRPr="00312F01">
        <w:rPr>
          <w:rFonts w:asciiTheme="minorHAnsi" w:eastAsiaTheme="minorEastAsia" w:hAnsiTheme="minorHAnsi" w:cstheme="minorHAnsi"/>
          <w:sz w:val="24"/>
          <w:szCs w:val="22"/>
          <w:lang w:val="en-NZ" w:eastAsia="en-NZ"/>
        </w:rPr>
        <w:t xml:space="preserve">the best interests of the organisation are not aligned </w:t>
      </w:r>
      <w:r w:rsidR="00CD5842" w:rsidRPr="00312F01">
        <w:rPr>
          <w:rFonts w:asciiTheme="minorHAnsi" w:eastAsiaTheme="minorEastAsia" w:hAnsiTheme="minorHAnsi" w:cstheme="minorHAnsi"/>
          <w:sz w:val="24"/>
          <w:szCs w:val="22"/>
          <w:lang w:val="en-NZ" w:eastAsia="en-NZ"/>
        </w:rPr>
        <w:t xml:space="preserve">with </w:t>
      </w:r>
      <w:r w:rsidRPr="00312F01">
        <w:rPr>
          <w:rFonts w:asciiTheme="minorHAnsi" w:eastAsiaTheme="minorEastAsia" w:hAnsiTheme="minorHAnsi" w:cstheme="minorHAnsi"/>
          <w:sz w:val="24"/>
          <w:szCs w:val="22"/>
          <w:lang w:val="en-NZ" w:eastAsia="en-NZ"/>
        </w:rPr>
        <w:t>the goals of another organisation a board member is involved with</w:t>
      </w:r>
      <w:r w:rsidR="00CD5842" w:rsidRPr="00312F01">
        <w:rPr>
          <w:rFonts w:asciiTheme="minorHAnsi" w:eastAsiaTheme="minorEastAsia" w:hAnsiTheme="minorHAnsi" w:cstheme="minorHAnsi"/>
          <w:sz w:val="24"/>
          <w:szCs w:val="22"/>
          <w:lang w:val="en-NZ" w:eastAsia="en-NZ"/>
        </w:rPr>
        <w:t xml:space="preserve">.  </w:t>
      </w:r>
      <w:r w:rsidRPr="00312F01">
        <w:rPr>
          <w:rFonts w:asciiTheme="minorHAnsi" w:eastAsiaTheme="minorEastAsia" w:hAnsiTheme="minorHAnsi" w:cstheme="minorHAnsi"/>
          <w:sz w:val="24"/>
          <w:szCs w:val="22"/>
          <w:lang w:val="en-NZ" w:eastAsia="en-NZ"/>
        </w:rPr>
        <w:t xml:space="preserve">In this case </w:t>
      </w:r>
      <w:r w:rsidR="002943CD" w:rsidRPr="00312F01">
        <w:rPr>
          <w:rFonts w:asciiTheme="minorHAnsi" w:eastAsiaTheme="minorEastAsia" w:hAnsiTheme="minorHAnsi" w:cstheme="minorHAnsi"/>
          <w:sz w:val="24"/>
          <w:szCs w:val="22"/>
          <w:lang w:val="en-NZ" w:eastAsia="en-NZ"/>
        </w:rPr>
        <w:t>we must</w:t>
      </w:r>
      <w:r w:rsidRPr="00312F01">
        <w:rPr>
          <w:rFonts w:asciiTheme="minorHAnsi" w:eastAsiaTheme="minorEastAsia" w:hAnsiTheme="minorHAnsi" w:cstheme="minorHAnsi"/>
          <w:sz w:val="24"/>
          <w:szCs w:val="22"/>
          <w:lang w:val="en-NZ" w:eastAsia="en-NZ"/>
        </w:rPr>
        <w:t xml:space="preserve"> declare a </w:t>
      </w:r>
      <w:hyperlink r:id="rId10" w:history="1">
        <w:r w:rsidRPr="00312F01">
          <w:rPr>
            <w:rStyle w:val="Hyperlink"/>
            <w:rFonts w:asciiTheme="minorHAnsi" w:eastAsiaTheme="minorEastAsia" w:hAnsiTheme="minorHAnsi" w:cstheme="minorHAnsi"/>
            <w:sz w:val="24"/>
            <w:szCs w:val="22"/>
            <w:lang w:val="en-NZ" w:eastAsia="en-NZ"/>
          </w:rPr>
          <w:t>conflict of interest</w:t>
        </w:r>
      </w:hyperlink>
      <w:r w:rsidRPr="00312F01">
        <w:rPr>
          <w:rFonts w:asciiTheme="minorHAnsi" w:eastAsiaTheme="minorEastAsia" w:hAnsiTheme="minorHAnsi" w:cstheme="minorHAnsi"/>
          <w:sz w:val="24"/>
          <w:szCs w:val="22"/>
          <w:lang w:val="en-NZ" w:eastAsia="en-NZ"/>
        </w:rPr>
        <w:t xml:space="preserve">. </w:t>
      </w:r>
    </w:p>
    <w:p w:rsidR="005F17F7" w:rsidRPr="00312F01" w:rsidRDefault="005E263F" w:rsidP="005F17F7">
      <w:pPr>
        <w:numPr>
          <w:ilvl w:val="0"/>
          <w:numId w:val="1"/>
        </w:numPr>
        <w:overflowPunct/>
        <w:autoSpaceDE/>
        <w:autoSpaceDN/>
        <w:adjustRightInd/>
        <w:spacing w:after="200" w:line="276" w:lineRule="auto"/>
        <w:textAlignment w:val="auto"/>
        <w:rPr>
          <w:rFonts w:asciiTheme="minorHAnsi" w:eastAsiaTheme="minorEastAsia" w:hAnsiTheme="minorHAnsi" w:cstheme="minorHAnsi"/>
          <w:i/>
          <w:sz w:val="24"/>
          <w:szCs w:val="22"/>
          <w:lang w:val="en-NZ" w:eastAsia="en-NZ"/>
        </w:rPr>
      </w:pPr>
      <w:r w:rsidRPr="00312F01">
        <w:rPr>
          <w:rFonts w:asciiTheme="minorHAnsi" w:eastAsiaTheme="minorEastAsia" w:hAnsiTheme="minorHAnsi" w:cstheme="minorHAnsi"/>
          <w:b/>
          <w:i/>
          <w:sz w:val="24"/>
          <w:szCs w:val="22"/>
          <w:lang w:val="en-NZ" w:eastAsia="en-NZ"/>
        </w:rPr>
        <w:t>The board is about “what” and “why”, management is about “how”</w:t>
      </w:r>
      <w:r w:rsidRPr="00312F01">
        <w:rPr>
          <w:rFonts w:asciiTheme="minorHAnsi" w:eastAsiaTheme="minorEastAsia" w:hAnsiTheme="minorHAnsi" w:cstheme="minorHAnsi"/>
          <w:i/>
          <w:sz w:val="24"/>
          <w:szCs w:val="22"/>
          <w:lang w:val="en-NZ" w:eastAsia="en-NZ"/>
        </w:rPr>
        <w:t xml:space="preserve">. </w:t>
      </w:r>
      <w:r w:rsidRPr="00312F01">
        <w:rPr>
          <w:rFonts w:asciiTheme="minorHAnsi" w:eastAsiaTheme="minorEastAsia" w:hAnsiTheme="minorHAnsi" w:cstheme="minorHAnsi"/>
          <w:sz w:val="24"/>
          <w:szCs w:val="22"/>
          <w:lang w:val="en-NZ" w:eastAsia="en-NZ"/>
        </w:rPr>
        <w:t xml:space="preserve"> The board doesn’t tell the CE how to do things, or, put another way, we “stay off the dance-floor”.  The board’s role is to be on the balcony, taking in the big picture of the dance and not getting in the way of the dancers. </w:t>
      </w:r>
      <w:r w:rsidR="005F17F7" w:rsidRPr="00312F01">
        <w:rPr>
          <w:rFonts w:asciiTheme="minorHAnsi" w:eastAsiaTheme="minorEastAsia" w:hAnsiTheme="minorHAnsi" w:cstheme="minorHAnsi"/>
          <w:sz w:val="24"/>
          <w:szCs w:val="22"/>
          <w:lang w:val="en-NZ" w:eastAsia="en-NZ"/>
        </w:rPr>
        <w:t xml:space="preserve"> </w:t>
      </w:r>
      <w:r w:rsidR="00C92502" w:rsidRPr="00312F01">
        <w:rPr>
          <w:rFonts w:asciiTheme="minorHAnsi" w:eastAsiaTheme="minorEastAsia" w:hAnsiTheme="minorHAnsi" w:cstheme="minorHAnsi"/>
          <w:sz w:val="24"/>
          <w:szCs w:val="22"/>
          <w:lang w:val="en-NZ" w:eastAsia="en-NZ"/>
        </w:rPr>
        <w:t xml:space="preserve">A helpful approach is to spend </w:t>
      </w:r>
      <w:r w:rsidR="005F17F7" w:rsidRPr="00312F01">
        <w:rPr>
          <w:rFonts w:asciiTheme="minorHAnsi" w:eastAsiaTheme="minorEastAsia" w:hAnsiTheme="minorHAnsi" w:cstheme="minorHAnsi"/>
          <w:sz w:val="24"/>
          <w:szCs w:val="22"/>
          <w:lang w:val="en-NZ" w:eastAsia="en-NZ"/>
        </w:rPr>
        <w:t xml:space="preserve">75% of </w:t>
      </w:r>
      <w:r w:rsidR="00C92502" w:rsidRPr="00312F01">
        <w:rPr>
          <w:rFonts w:asciiTheme="minorHAnsi" w:eastAsiaTheme="minorEastAsia" w:hAnsiTheme="minorHAnsi" w:cstheme="minorHAnsi"/>
          <w:sz w:val="24"/>
          <w:szCs w:val="22"/>
          <w:lang w:val="en-NZ" w:eastAsia="en-NZ"/>
        </w:rPr>
        <w:t xml:space="preserve">each board meeting </w:t>
      </w:r>
      <w:r w:rsidR="005F17F7" w:rsidRPr="00312F01">
        <w:rPr>
          <w:rFonts w:asciiTheme="minorHAnsi" w:eastAsiaTheme="minorEastAsia" w:hAnsiTheme="minorHAnsi" w:cstheme="minorHAnsi"/>
          <w:sz w:val="24"/>
          <w:szCs w:val="22"/>
          <w:lang w:val="en-NZ" w:eastAsia="en-NZ"/>
        </w:rPr>
        <w:t xml:space="preserve">on strategic issues and </w:t>
      </w:r>
      <w:r w:rsidR="00C92502" w:rsidRPr="00312F01">
        <w:rPr>
          <w:rFonts w:asciiTheme="minorHAnsi" w:eastAsiaTheme="minorEastAsia" w:hAnsiTheme="minorHAnsi" w:cstheme="minorHAnsi"/>
          <w:sz w:val="24"/>
          <w:szCs w:val="22"/>
          <w:lang w:val="en-NZ" w:eastAsia="en-NZ"/>
        </w:rPr>
        <w:t xml:space="preserve">no more than 25% of the time on </w:t>
      </w:r>
      <w:r w:rsidR="00CD5842" w:rsidRPr="00312F01">
        <w:rPr>
          <w:rFonts w:asciiTheme="minorHAnsi" w:eastAsiaTheme="minorEastAsia" w:hAnsiTheme="minorHAnsi" w:cstheme="minorHAnsi"/>
          <w:sz w:val="24"/>
          <w:szCs w:val="22"/>
          <w:lang w:val="en-NZ" w:eastAsia="en-NZ"/>
        </w:rPr>
        <w:t>“business as usual”</w:t>
      </w:r>
      <w:r w:rsidR="005F17F7" w:rsidRPr="00312F01">
        <w:rPr>
          <w:rFonts w:asciiTheme="minorHAnsi" w:eastAsiaTheme="minorEastAsia" w:hAnsiTheme="minorHAnsi" w:cstheme="minorHAnsi"/>
          <w:i/>
          <w:sz w:val="24"/>
          <w:szCs w:val="22"/>
          <w:lang w:val="en-NZ" w:eastAsia="en-NZ"/>
        </w:rPr>
        <w:t>.</w:t>
      </w:r>
    </w:p>
    <w:p w:rsidR="005E263F" w:rsidRPr="00312F01" w:rsidRDefault="005E263F" w:rsidP="005E263F">
      <w:pPr>
        <w:numPr>
          <w:ilvl w:val="0"/>
          <w:numId w:val="1"/>
        </w:numPr>
        <w:overflowPunct/>
        <w:autoSpaceDE/>
        <w:autoSpaceDN/>
        <w:adjustRightInd/>
        <w:spacing w:after="200" w:line="276" w:lineRule="auto"/>
        <w:textAlignment w:val="auto"/>
        <w:rPr>
          <w:rFonts w:asciiTheme="minorHAnsi" w:eastAsiaTheme="minorEastAsia" w:hAnsiTheme="minorHAnsi" w:cstheme="minorHAnsi"/>
          <w:sz w:val="24"/>
          <w:szCs w:val="22"/>
          <w:lang w:val="en-NZ" w:eastAsia="en-NZ"/>
        </w:rPr>
      </w:pPr>
      <w:r w:rsidRPr="00312F01">
        <w:rPr>
          <w:rFonts w:asciiTheme="minorHAnsi" w:eastAsiaTheme="minorEastAsia" w:hAnsiTheme="minorHAnsi" w:cstheme="minorHAnsi"/>
          <w:b/>
          <w:i/>
          <w:sz w:val="24"/>
          <w:szCs w:val="22"/>
          <w:lang w:val="en-NZ" w:eastAsia="en-NZ"/>
        </w:rPr>
        <w:t xml:space="preserve">We ensure </w:t>
      </w:r>
      <w:hyperlink r:id="rId11" w:history="1">
        <w:r w:rsidRPr="00AE52A1">
          <w:rPr>
            <w:rStyle w:val="Hyperlink"/>
            <w:rFonts w:asciiTheme="minorHAnsi" w:eastAsiaTheme="minorEastAsia" w:hAnsiTheme="minorHAnsi" w:cstheme="minorHAnsi"/>
            <w:b/>
            <w:i/>
            <w:sz w:val="24"/>
            <w:szCs w:val="22"/>
            <w:lang w:val="en-NZ" w:eastAsia="en-NZ"/>
          </w:rPr>
          <w:t>equity of voice</w:t>
        </w:r>
      </w:hyperlink>
      <w:bookmarkStart w:id="0" w:name="_GoBack"/>
      <w:bookmarkEnd w:id="0"/>
      <w:r w:rsidRPr="00312F01">
        <w:rPr>
          <w:rFonts w:asciiTheme="minorHAnsi" w:eastAsiaTheme="minorEastAsia" w:hAnsiTheme="minorHAnsi" w:cstheme="minorHAnsi"/>
          <w:i/>
          <w:sz w:val="24"/>
          <w:szCs w:val="22"/>
          <w:lang w:val="en-NZ" w:eastAsia="en-NZ"/>
        </w:rPr>
        <w:t>:</w:t>
      </w:r>
      <w:r w:rsidR="00507FFB" w:rsidRPr="00312F01">
        <w:rPr>
          <w:rFonts w:asciiTheme="minorHAnsi" w:eastAsiaTheme="minorEastAsia" w:hAnsiTheme="minorHAnsi" w:cstheme="minorHAnsi"/>
          <w:sz w:val="24"/>
          <w:szCs w:val="22"/>
          <w:lang w:val="en-NZ" w:eastAsia="en-NZ"/>
        </w:rPr>
        <w:t xml:space="preserve">  In a board of 9</w:t>
      </w:r>
      <w:r w:rsidRPr="00312F01">
        <w:rPr>
          <w:rFonts w:asciiTheme="minorHAnsi" w:eastAsiaTheme="minorEastAsia" w:hAnsiTheme="minorHAnsi" w:cstheme="minorHAnsi"/>
          <w:sz w:val="24"/>
          <w:szCs w:val="22"/>
          <w:lang w:val="en-NZ" w:eastAsia="en-NZ"/>
        </w:rPr>
        <w:t xml:space="preserve"> people, each board member should, on average, be listening for </w:t>
      </w:r>
      <w:r w:rsidR="00507FFB" w:rsidRPr="00312F01">
        <w:rPr>
          <w:rFonts w:asciiTheme="minorHAnsi" w:eastAsiaTheme="minorEastAsia" w:hAnsiTheme="minorHAnsi" w:cstheme="minorHAnsi"/>
          <w:sz w:val="24"/>
          <w:szCs w:val="22"/>
          <w:lang w:val="en-NZ" w:eastAsia="en-NZ"/>
        </w:rPr>
        <w:t>8</w:t>
      </w:r>
      <w:r w:rsidRPr="00312F01">
        <w:rPr>
          <w:rFonts w:asciiTheme="minorHAnsi" w:eastAsiaTheme="minorEastAsia" w:hAnsiTheme="minorHAnsi" w:cstheme="minorHAnsi"/>
          <w:sz w:val="24"/>
          <w:szCs w:val="22"/>
          <w:lang w:val="en-NZ" w:eastAsia="en-NZ"/>
        </w:rPr>
        <w:t>/</w:t>
      </w:r>
      <w:r w:rsidR="00507FFB" w:rsidRPr="00312F01">
        <w:rPr>
          <w:rFonts w:asciiTheme="minorHAnsi" w:eastAsiaTheme="minorEastAsia" w:hAnsiTheme="minorHAnsi" w:cstheme="minorHAnsi"/>
          <w:sz w:val="24"/>
          <w:szCs w:val="22"/>
          <w:lang w:val="en-NZ" w:eastAsia="en-NZ"/>
        </w:rPr>
        <w:t>9</w:t>
      </w:r>
      <w:r w:rsidRPr="00312F01">
        <w:rPr>
          <w:rFonts w:asciiTheme="minorHAnsi" w:eastAsiaTheme="minorEastAsia" w:hAnsiTheme="minorHAnsi" w:cstheme="minorHAnsi"/>
          <w:sz w:val="24"/>
          <w:szCs w:val="22"/>
          <w:vertAlign w:val="superscript"/>
          <w:lang w:val="en-NZ" w:eastAsia="en-NZ"/>
        </w:rPr>
        <w:t>th</w:t>
      </w:r>
      <w:r w:rsidR="00507FFB" w:rsidRPr="00312F01">
        <w:rPr>
          <w:rFonts w:asciiTheme="minorHAnsi" w:eastAsiaTheme="minorEastAsia" w:hAnsiTheme="minorHAnsi" w:cstheme="minorHAnsi"/>
          <w:sz w:val="24"/>
          <w:szCs w:val="22"/>
          <w:vertAlign w:val="superscript"/>
          <w:lang w:val="en-NZ" w:eastAsia="en-NZ"/>
        </w:rPr>
        <w:t>s</w:t>
      </w:r>
      <w:r w:rsidR="00507FFB" w:rsidRPr="00312F01">
        <w:rPr>
          <w:rFonts w:asciiTheme="minorHAnsi" w:eastAsiaTheme="minorEastAsia" w:hAnsiTheme="minorHAnsi" w:cstheme="minorHAnsi"/>
          <w:sz w:val="24"/>
          <w:szCs w:val="22"/>
          <w:lang w:val="en-NZ" w:eastAsia="en-NZ"/>
        </w:rPr>
        <w:t xml:space="preserve"> </w:t>
      </w:r>
      <w:r w:rsidRPr="00312F01">
        <w:rPr>
          <w:rFonts w:asciiTheme="minorHAnsi" w:eastAsiaTheme="minorEastAsia" w:hAnsiTheme="minorHAnsi" w:cstheme="minorHAnsi"/>
          <w:sz w:val="24"/>
          <w:szCs w:val="22"/>
          <w:lang w:val="en-NZ" w:eastAsia="en-NZ"/>
        </w:rPr>
        <w:t>of the time, and speaking for 1/</w:t>
      </w:r>
      <w:r w:rsidR="00507FFB" w:rsidRPr="00312F01">
        <w:rPr>
          <w:rFonts w:asciiTheme="minorHAnsi" w:eastAsiaTheme="minorEastAsia" w:hAnsiTheme="minorHAnsi" w:cstheme="minorHAnsi"/>
          <w:sz w:val="24"/>
          <w:szCs w:val="22"/>
          <w:lang w:val="en-NZ" w:eastAsia="en-NZ"/>
        </w:rPr>
        <w:t>9</w:t>
      </w:r>
      <w:r w:rsidR="00507FFB" w:rsidRPr="00312F01">
        <w:rPr>
          <w:rFonts w:asciiTheme="minorHAnsi" w:eastAsiaTheme="minorEastAsia" w:hAnsiTheme="minorHAnsi" w:cstheme="minorHAnsi"/>
          <w:sz w:val="24"/>
          <w:szCs w:val="22"/>
          <w:vertAlign w:val="superscript"/>
          <w:lang w:val="en-NZ" w:eastAsia="en-NZ"/>
        </w:rPr>
        <w:t>th</w:t>
      </w:r>
      <w:r w:rsidR="00507FFB" w:rsidRPr="00312F01">
        <w:rPr>
          <w:rFonts w:asciiTheme="minorHAnsi" w:eastAsiaTheme="minorEastAsia" w:hAnsiTheme="minorHAnsi" w:cstheme="minorHAnsi"/>
          <w:sz w:val="24"/>
          <w:szCs w:val="22"/>
          <w:lang w:val="en-NZ" w:eastAsia="en-NZ"/>
        </w:rPr>
        <w:t xml:space="preserve"> </w:t>
      </w:r>
      <w:r w:rsidRPr="00312F01">
        <w:rPr>
          <w:rFonts w:asciiTheme="minorHAnsi" w:eastAsiaTheme="minorEastAsia" w:hAnsiTheme="minorHAnsi" w:cstheme="minorHAnsi"/>
          <w:sz w:val="24"/>
          <w:szCs w:val="22"/>
          <w:lang w:val="en-NZ" w:eastAsia="en-NZ"/>
        </w:rPr>
        <w:t xml:space="preserve">of the time.   </w:t>
      </w:r>
      <w:r w:rsidR="005F17F7" w:rsidRPr="00312F01">
        <w:rPr>
          <w:rFonts w:asciiTheme="minorHAnsi" w:eastAsiaTheme="minorEastAsia" w:hAnsiTheme="minorHAnsi" w:cstheme="minorHAnsi"/>
          <w:sz w:val="24"/>
          <w:szCs w:val="22"/>
          <w:lang w:val="en-NZ" w:eastAsia="en-NZ"/>
        </w:rPr>
        <w:t>Unsure whether to add to the conversation?  Asking “</w:t>
      </w:r>
      <w:hyperlink r:id="rId12" w:history="1">
        <w:r w:rsidR="005F17F7" w:rsidRPr="00312F01">
          <w:rPr>
            <w:rStyle w:val="Hyperlink"/>
            <w:rFonts w:asciiTheme="minorHAnsi" w:eastAsiaTheme="minorEastAsia" w:hAnsiTheme="minorHAnsi" w:cstheme="minorHAnsi"/>
            <w:sz w:val="24"/>
            <w:szCs w:val="22"/>
            <w:lang w:val="en-NZ" w:eastAsia="en-NZ"/>
          </w:rPr>
          <w:t>w</w:t>
        </w:r>
        <w:r w:rsidRPr="00312F01">
          <w:rPr>
            <w:rStyle w:val="Hyperlink"/>
            <w:rFonts w:asciiTheme="minorHAnsi" w:eastAsiaTheme="minorEastAsia" w:hAnsiTheme="minorHAnsi" w:cstheme="minorHAnsi"/>
            <w:sz w:val="24"/>
            <w:szCs w:val="22"/>
            <w:lang w:val="en-NZ" w:eastAsia="en-NZ"/>
          </w:rPr>
          <w:t xml:space="preserve">ill this make the </w:t>
        </w:r>
        <w:r w:rsidR="005F17F7" w:rsidRPr="00312F01">
          <w:rPr>
            <w:rStyle w:val="Hyperlink"/>
            <w:rFonts w:asciiTheme="minorHAnsi" w:eastAsiaTheme="minorEastAsia" w:hAnsiTheme="minorHAnsi" w:cstheme="minorHAnsi"/>
            <w:sz w:val="24"/>
            <w:szCs w:val="22"/>
            <w:lang w:val="en-NZ" w:eastAsia="en-NZ"/>
          </w:rPr>
          <w:t xml:space="preserve">boat </w:t>
        </w:r>
        <w:r w:rsidRPr="00312F01">
          <w:rPr>
            <w:rStyle w:val="Hyperlink"/>
            <w:rFonts w:asciiTheme="minorHAnsi" w:eastAsiaTheme="minorEastAsia" w:hAnsiTheme="minorHAnsi" w:cstheme="minorHAnsi"/>
            <w:sz w:val="24"/>
            <w:szCs w:val="22"/>
            <w:lang w:val="en-NZ" w:eastAsia="en-NZ"/>
          </w:rPr>
          <w:t>go faster</w:t>
        </w:r>
        <w:r w:rsidR="005F17F7" w:rsidRPr="00312F01">
          <w:rPr>
            <w:rStyle w:val="Hyperlink"/>
            <w:rFonts w:asciiTheme="minorHAnsi" w:eastAsiaTheme="minorEastAsia" w:hAnsiTheme="minorHAnsi" w:cstheme="minorHAnsi"/>
            <w:sz w:val="24"/>
            <w:szCs w:val="22"/>
            <w:lang w:val="en-NZ" w:eastAsia="en-NZ"/>
          </w:rPr>
          <w:t>?</w:t>
        </w:r>
      </w:hyperlink>
      <w:r w:rsidR="005F17F7" w:rsidRPr="00312F01">
        <w:rPr>
          <w:rFonts w:asciiTheme="minorHAnsi" w:eastAsiaTheme="minorEastAsia" w:hAnsiTheme="minorHAnsi" w:cstheme="minorHAnsi"/>
          <w:sz w:val="24"/>
          <w:szCs w:val="22"/>
          <w:lang w:val="en-NZ" w:eastAsia="en-NZ"/>
        </w:rPr>
        <w:t xml:space="preserve">” </w:t>
      </w:r>
      <w:r w:rsidRPr="00312F01">
        <w:rPr>
          <w:rFonts w:asciiTheme="minorHAnsi" w:eastAsiaTheme="minorEastAsia" w:hAnsiTheme="minorHAnsi" w:cstheme="minorHAnsi"/>
          <w:sz w:val="24"/>
          <w:szCs w:val="22"/>
          <w:lang w:val="en-NZ" w:eastAsia="en-NZ"/>
        </w:rPr>
        <w:t xml:space="preserve">is a useful touchstone for ensuring the discussion stays relevant and useful.  </w:t>
      </w:r>
    </w:p>
    <w:p w:rsidR="00CD5842" w:rsidRPr="00312F01" w:rsidRDefault="005E263F" w:rsidP="005E263F">
      <w:pPr>
        <w:numPr>
          <w:ilvl w:val="0"/>
          <w:numId w:val="1"/>
        </w:numPr>
        <w:overflowPunct/>
        <w:autoSpaceDE/>
        <w:autoSpaceDN/>
        <w:adjustRightInd/>
        <w:spacing w:after="200" w:line="276" w:lineRule="auto"/>
        <w:textAlignment w:val="auto"/>
        <w:rPr>
          <w:rFonts w:asciiTheme="minorHAnsi" w:eastAsiaTheme="minorEastAsia" w:hAnsiTheme="minorHAnsi" w:cstheme="minorHAnsi"/>
          <w:sz w:val="24"/>
          <w:szCs w:val="22"/>
          <w:lang w:val="en-NZ" w:eastAsia="en-NZ"/>
        </w:rPr>
      </w:pPr>
      <w:r w:rsidRPr="00312F01">
        <w:rPr>
          <w:rFonts w:asciiTheme="minorHAnsi" w:eastAsiaTheme="minorEastAsia" w:hAnsiTheme="minorHAnsi" w:cstheme="minorHAnsi"/>
          <w:b/>
          <w:i/>
          <w:sz w:val="24"/>
          <w:szCs w:val="22"/>
          <w:lang w:val="en-NZ" w:eastAsia="en-NZ"/>
        </w:rPr>
        <w:t>D + D + D = C</w:t>
      </w:r>
      <w:r w:rsidRPr="00312F01">
        <w:rPr>
          <w:rFonts w:asciiTheme="minorHAnsi" w:eastAsiaTheme="minorEastAsia" w:hAnsiTheme="minorHAnsi" w:cstheme="minorHAnsi"/>
          <w:i/>
          <w:sz w:val="24"/>
          <w:szCs w:val="22"/>
          <w:lang w:val="en-NZ" w:eastAsia="en-NZ"/>
        </w:rPr>
        <w:t>:</w:t>
      </w:r>
      <w:r w:rsidRPr="00312F01">
        <w:rPr>
          <w:rFonts w:asciiTheme="minorHAnsi" w:eastAsiaTheme="minorEastAsia" w:hAnsiTheme="minorHAnsi" w:cstheme="minorHAnsi"/>
          <w:sz w:val="24"/>
          <w:szCs w:val="22"/>
          <w:lang w:val="en-NZ" w:eastAsia="en-NZ"/>
        </w:rPr>
        <w:t xml:space="preserve"> “Dumb” questions + Diversity of opinion + Debate = consensus.   Differing views (and dissent) are important to ensure we harness </w:t>
      </w:r>
      <w:r w:rsidR="00CD5842" w:rsidRPr="00312F01">
        <w:rPr>
          <w:rFonts w:asciiTheme="minorHAnsi" w:eastAsiaTheme="minorEastAsia" w:hAnsiTheme="minorHAnsi" w:cstheme="minorHAnsi"/>
          <w:sz w:val="24"/>
          <w:szCs w:val="22"/>
          <w:lang w:val="en-NZ" w:eastAsia="en-NZ"/>
        </w:rPr>
        <w:t xml:space="preserve">our </w:t>
      </w:r>
      <w:r w:rsidRPr="00312F01">
        <w:rPr>
          <w:rFonts w:asciiTheme="minorHAnsi" w:eastAsiaTheme="minorEastAsia" w:hAnsiTheme="minorHAnsi" w:cstheme="minorHAnsi"/>
          <w:sz w:val="24"/>
          <w:szCs w:val="22"/>
          <w:lang w:val="en-NZ" w:eastAsia="en-NZ"/>
        </w:rPr>
        <w:t xml:space="preserve">collective wisdom into a consensus decision.  Making decisions </w:t>
      </w:r>
      <w:r w:rsidR="00CD5842" w:rsidRPr="00312F01">
        <w:rPr>
          <w:rFonts w:asciiTheme="minorHAnsi" w:eastAsiaTheme="minorEastAsia" w:hAnsiTheme="minorHAnsi" w:cstheme="minorHAnsi"/>
          <w:sz w:val="24"/>
          <w:szCs w:val="22"/>
          <w:lang w:val="en-NZ" w:eastAsia="en-NZ"/>
        </w:rPr>
        <w:t xml:space="preserve">through </w:t>
      </w:r>
      <w:r w:rsidRPr="00312F01">
        <w:rPr>
          <w:rFonts w:asciiTheme="minorHAnsi" w:eastAsiaTheme="minorEastAsia" w:hAnsiTheme="minorHAnsi" w:cstheme="minorHAnsi"/>
          <w:sz w:val="24"/>
          <w:szCs w:val="22"/>
          <w:lang w:val="en-NZ" w:eastAsia="en-NZ"/>
        </w:rPr>
        <w:t xml:space="preserve">voting </w:t>
      </w:r>
      <w:r w:rsidR="005F17F7" w:rsidRPr="00312F01">
        <w:rPr>
          <w:rFonts w:asciiTheme="minorHAnsi" w:eastAsiaTheme="minorEastAsia" w:hAnsiTheme="minorHAnsi" w:cstheme="minorHAnsi"/>
          <w:sz w:val="24"/>
          <w:szCs w:val="22"/>
          <w:lang w:val="en-NZ" w:eastAsia="en-NZ"/>
        </w:rPr>
        <w:t xml:space="preserve">should </w:t>
      </w:r>
      <w:r w:rsidR="00CD5842" w:rsidRPr="00312F01">
        <w:rPr>
          <w:rFonts w:asciiTheme="minorHAnsi" w:eastAsiaTheme="minorEastAsia" w:hAnsiTheme="minorHAnsi" w:cstheme="minorHAnsi"/>
          <w:sz w:val="24"/>
          <w:szCs w:val="22"/>
          <w:lang w:val="en-NZ" w:eastAsia="en-NZ"/>
        </w:rPr>
        <w:t xml:space="preserve">be a </w:t>
      </w:r>
      <w:r w:rsidR="00312F01">
        <w:rPr>
          <w:rFonts w:asciiTheme="minorHAnsi" w:eastAsiaTheme="minorEastAsia" w:hAnsiTheme="minorHAnsi" w:cstheme="minorHAnsi"/>
          <w:sz w:val="24"/>
          <w:szCs w:val="22"/>
          <w:lang w:val="en-NZ" w:eastAsia="en-NZ"/>
        </w:rPr>
        <w:t xml:space="preserve">last resort, and used only after putting significant time and effort into building consensus. </w:t>
      </w:r>
    </w:p>
    <w:p w:rsidR="005E263F" w:rsidRPr="00312F01" w:rsidRDefault="005E263F" w:rsidP="005E263F">
      <w:pPr>
        <w:numPr>
          <w:ilvl w:val="0"/>
          <w:numId w:val="1"/>
        </w:numPr>
        <w:overflowPunct/>
        <w:autoSpaceDE/>
        <w:autoSpaceDN/>
        <w:adjustRightInd/>
        <w:spacing w:after="200" w:line="276" w:lineRule="auto"/>
        <w:textAlignment w:val="auto"/>
        <w:rPr>
          <w:rFonts w:asciiTheme="minorHAnsi" w:eastAsiaTheme="minorEastAsia" w:hAnsiTheme="minorHAnsi" w:cstheme="minorHAnsi"/>
          <w:sz w:val="24"/>
          <w:szCs w:val="22"/>
          <w:lang w:val="en-NZ" w:eastAsia="en-NZ"/>
        </w:rPr>
      </w:pPr>
      <w:r w:rsidRPr="00312F01">
        <w:rPr>
          <w:rFonts w:asciiTheme="minorHAnsi" w:eastAsiaTheme="minorEastAsia" w:hAnsiTheme="minorHAnsi" w:cstheme="minorHAnsi"/>
          <w:b/>
          <w:i/>
          <w:sz w:val="24"/>
          <w:szCs w:val="22"/>
          <w:lang w:val="en-NZ" w:eastAsia="en-NZ"/>
        </w:rPr>
        <w:t>We speak with one voice</w:t>
      </w:r>
      <w:r w:rsidRPr="00312F01">
        <w:rPr>
          <w:rFonts w:asciiTheme="minorHAnsi" w:eastAsiaTheme="minorEastAsia" w:hAnsiTheme="minorHAnsi" w:cstheme="minorHAnsi"/>
          <w:i/>
          <w:sz w:val="24"/>
          <w:szCs w:val="22"/>
          <w:lang w:val="en-NZ" w:eastAsia="en-NZ"/>
        </w:rPr>
        <w:t>:</w:t>
      </w:r>
      <w:r w:rsidRPr="00312F01">
        <w:rPr>
          <w:rFonts w:asciiTheme="minorHAnsi" w:eastAsiaTheme="minorEastAsia" w:hAnsiTheme="minorHAnsi" w:cstheme="minorHAnsi"/>
          <w:sz w:val="24"/>
          <w:szCs w:val="22"/>
          <w:lang w:val="en-NZ" w:eastAsia="en-NZ"/>
        </w:rPr>
        <w:t xml:space="preserve">  What is said in the board room stays in the board room, and, even if we argue against or even vote against an item, we must publicly support all board decisions.</w:t>
      </w:r>
    </w:p>
    <w:p w:rsidR="005E263F" w:rsidRPr="00312F01" w:rsidRDefault="005F17F7" w:rsidP="005E263F">
      <w:pPr>
        <w:numPr>
          <w:ilvl w:val="0"/>
          <w:numId w:val="1"/>
        </w:numPr>
        <w:overflowPunct/>
        <w:autoSpaceDE/>
        <w:autoSpaceDN/>
        <w:adjustRightInd/>
        <w:spacing w:after="200" w:line="276" w:lineRule="auto"/>
        <w:textAlignment w:val="auto"/>
        <w:rPr>
          <w:rFonts w:asciiTheme="minorHAnsi" w:eastAsiaTheme="minorEastAsia" w:hAnsiTheme="minorHAnsi" w:cstheme="minorHAnsi"/>
          <w:i/>
          <w:sz w:val="24"/>
          <w:szCs w:val="22"/>
          <w:lang w:val="en-NZ" w:eastAsia="en-NZ"/>
        </w:rPr>
      </w:pPr>
      <w:r w:rsidRPr="00312F01">
        <w:rPr>
          <w:rFonts w:asciiTheme="minorHAnsi" w:eastAsiaTheme="minorEastAsia" w:hAnsiTheme="minorHAnsi" w:cstheme="minorHAnsi"/>
          <w:b/>
          <w:i/>
          <w:sz w:val="24"/>
          <w:szCs w:val="22"/>
          <w:lang w:val="en-NZ" w:eastAsia="en-NZ"/>
        </w:rPr>
        <w:t xml:space="preserve">We wave our organisation’s </w:t>
      </w:r>
      <w:r w:rsidR="005E263F" w:rsidRPr="00312F01">
        <w:rPr>
          <w:rFonts w:asciiTheme="minorHAnsi" w:eastAsiaTheme="minorEastAsia" w:hAnsiTheme="minorHAnsi" w:cstheme="minorHAnsi"/>
          <w:b/>
          <w:i/>
          <w:sz w:val="24"/>
          <w:szCs w:val="22"/>
          <w:lang w:val="en-NZ" w:eastAsia="en-NZ"/>
        </w:rPr>
        <w:t>flag</w:t>
      </w:r>
      <w:r w:rsidR="005E263F" w:rsidRPr="00312F01">
        <w:rPr>
          <w:rFonts w:asciiTheme="minorHAnsi" w:eastAsiaTheme="minorEastAsia" w:hAnsiTheme="minorHAnsi" w:cstheme="minorHAnsi"/>
          <w:i/>
          <w:sz w:val="24"/>
          <w:szCs w:val="22"/>
          <w:lang w:val="en-NZ" w:eastAsia="en-NZ"/>
        </w:rPr>
        <w:t xml:space="preserve">: </w:t>
      </w:r>
      <w:r w:rsidR="005E263F" w:rsidRPr="00312F01">
        <w:rPr>
          <w:rFonts w:asciiTheme="minorHAnsi" w:eastAsiaTheme="minorEastAsia" w:hAnsiTheme="minorHAnsi" w:cstheme="minorHAnsi"/>
          <w:sz w:val="24"/>
          <w:szCs w:val="22"/>
          <w:lang w:val="en-NZ" w:eastAsia="en-NZ"/>
        </w:rPr>
        <w:t xml:space="preserve">Board members are champions for the organisation, and </w:t>
      </w:r>
      <w:r w:rsidRPr="00312F01">
        <w:rPr>
          <w:rFonts w:asciiTheme="minorHAnsi" w:eastAsiaTheme="minorEastAsia" w:hAnsiTheme="minorHAnsi" w:cstheme="minorHAnsi"/>
          <w:sz w:val="24"/>
          <w:szCs w:val="22"/>
          <w:lang w:val="en-NZ" w:eastAsia="en-NZ"/>
        </w:rPr>
        <w:t xml:space="preserve">we </w:t>
      </w:r>
      <w:r w:rsidR="005E263F" w:rsidRPr="00312F01">
        <w:rPr>
          <w:rFonts w:asciiTheme="minorHAnsi" w:eastAsiaTheme="minorEastAsia" w:hAnsiTheme="minorHAnsi" w:cstheme="minorHAnsi"/>
          <w:sz w:val="24"/>
          <w:szCs w:val="22"/>
          <w:lang w:val="en-NZ" w:eastAsia="en-NZ"/>
        </w:rPr>
        <w:t xml:space="preserve">take opportunities to promote </w:t>
      </w:r>
      <w:r w:rsidRPr="00312F01">
        <w:rPr>
          <w:rFonts w:asciiTheme="minorHAnsi" w:eastAsiaTheme="minorEastAsia" w:hAnsiTheme="minorHAnsi" w:cstheme="minorHAnsi"/>
          <w:sz w:val="24"/>
          <w:szCs w:val="22"/>
          <w:lang w:val="en-NZ" w:eastAsia="en-NZ"/>
        </w:rPr>
        <w:t xml:space="preserve">and advocate for our organisation and its vision. </w:t>
      </w:r>
      <w:r w:rsidR="005E263F" w:rsidRPr="00312F01">
        <w:rPr>
          <w:rFonts w:asciiTheme="minorHAnsi" w:eastAsiaTheme="minorEastAsia" w:hAnsiTheme="minorHAnsi" w:cstheme="minorHAnsi"/>
          <w:sz w:val="24"/>
          <w:szCs w:val="22"/>
          <w:lang w:val="en-NZ" w:eastAsia="en-NZ"/>
        </w:rPr>
        <w:t xml:space="preserve">  </w:t>
      </w:r>
    </w:p>
    <w:sectPr w:rsidR="005E263F" w:rsidRPr="00312F01" w:rsidSect="00312F01">
      <w:footerReference w:type="default" r:id="rId1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B4" w:rsidRDefault="00634DB4" w:rsidP="005E263F">
      <w:r>
        <w:separator/>
      </w:r>
    </w:p>
  </w:endnote>
  <w:endnote w:type="continuationSeparator" w:id="0">
    <w:p w:rsidR="00634DB4" w:rsidRDefault="00634DB4" w:rsidP="005E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F7" w:rsidRDefault="005F17F7" w:rsidP="005F17F7">
    <w:pPr>
      <w:pStyle w:val="Footer"/>
      <w:rPr>
        <w:rFonts w:asciiTheme="minorHAnsi" w:hAnsiTheme="minorHAnsi" w:cstheme="minorHAnsi"/>
        <w:i/>
      </w:rPr>
    </w:pPr>
    <w:r w:rsidRPr="005F17F7">
      <w:rPr>
        <w:rFonts w:asciiTheme="minorHAnsi" w:hAnsiTheme="minorHAnsi" w:cstheme="minorHAnsi"/>
        <w:i/>
      </w:rPr>
      <w:t xml:space="preserve">By Kate </w:t>
    </w:r>
    <w:proofErr w:type="spellStart"/>
    <w:r w:rsidRPr="005F17F7">
      <w:rPr>
        <w:rFonts w:asciiTheme="minorHAnsi" w:hAnsiTheme="minorHAnsi" w:cstheme="minorHAnsi"/>
        <w:i/>
      </w:rPr>
      <w:t>Frykberg</w:t>
    </w:r>
    <w:proofErr w:type="gramStart"/>
    <w:r w:rsidRPr="005F17F7">
      <w:rPr>
        <w:rFonts w:asciiTheme="minorHAnsi" w:hAnsiTheme="minorHAnsi" w:cstheme="minorHAnsi"/>
        <w:i/>
      </w:rPr>
      <w:t>,</w:t>
    </w:r>
    <w:proofErr w:type="gramEnd"/>
    <w:hyperlink r:id="rId1" w:history="1">
      <w:r w:rsidR="00664BAF" w:rsidRPr="00664BAF">
        <w:rPr>
          <w:rStyle w:val="Hyperlink"/>
          <w:rFonts w:asciiTheme="minorHAnsi" w:hAnsiTheme="minorHAnsi" w:cstheme="minorHAnsi"/>
          <w:i/>
        </w:rPr>
        <w:t>Thinktank</w:t>
      </w:r>
      <w:proofErr w:type="spellEnd"/>
      <w:r w:rsidR="00664BAF" w:rsidRPr="00664BAF">
        <w:rPr>
          <w:rStyle w:val="Hyperlink"/>
          <w:rFonts w:asciiTheme="minorHAnsi" w:hAnsiTheme="minorHAnsi" w:cstheme="minorHAnsi"/>
          <w:i/>
        </w:rPr>
        <w:t xml:space="preserve"> Consulting</w:t>
      </w:r>
    </w:hyperlink>
    <w:r w:rsidR="00664BAF">
      <w:rPr>
        <w:rFonts w:asciiTheme="minorHAnsi" w:hAnsiTheme="minorHAnsi" w:cstheme="minorHAnsi"/>
        <w:i/>
      </w:rPr>
      <w:t>,</w:t>
    </w:r>
    <w:r w:rsidRPr="005F17F7">
      <w:rPr>
        <w:rFonts w:asciiTheme="minorHAnsi" w:hAnsiTheme="minorHAnsi" w:cstheme="minorHAnsi"/>
        <w:i/>
      </w:rPr>
      <w:t xml:space="preserve"> </w:t>
    </w:r>
    <w:hyperlink r:id="rId2" w:history="1">
      <w:r w:rsidRPr="005F17F7">
        <w:rPr>
          <w:rStyle w:val="Hyperlink"/>
          <w:rFonts w:asciiTheme="minorHAnsi" w:hAnsiTheme="minorHAnsi" w:cstheme="minorHAnsi"/>
          <w:i/>
        </w:rPr>
        <w:t>kate@thinktank.co.nz</w:t>
      </w:r>
    </w:hyperlink>
    <w:r w:rsidRPr="005F17F7">
      <w:rPr>
        <w:rFonts w:asciiTheme="minorHAnsi" w:hAnsiTheme="minorHAnsi" w:cstheme="minorHAnsi"/>
        <w:i/>
      </w:rPr>
      <w:t>, written 2011, revised 2016</w:t>
    </w:r>
    <w:r w:rsidR="00664BAF">
      <w:rPr>
        <w:rFonts w:asciiTheme="minorHAnsi" w:hAnsiTheme="minorHAnsi" w:cstheme="minorHAnsi"/>
        <w:i/>
      </w:rPr>
      <w:t>.  Thanks to the NZ Institute of D</w:t>
    </w:r>
    <w:r w:rsidR="00860B40">
      <w:rPr>
        <w:rFonts w:asciiTheme="minorHAnsi" w:hAnsiTheme="minorHAnsi" w:cstheme="minorHAnsi"/>
        <w:i/>
      </w:rPr>
      <w:t>irectors training courses, fellow board members and the school of hard knocks for input</w:t>
    </w:r>
    <w:r w:rsidR="00312F01">
      <w:rPr>
        <w:rFonts w:asciiTheme="minorHAnsi" w:hAnsiTheme="minorHAnsi" w:cstheme="minorHAnsi"/>
        <w:i/>
      </w:rPr>
      <w:t>.</w:t>
    </w:r>
    <w:r w:rsidR="00860B40">
      <w:rPr>
        <w:rFonts w:asciiTheme="minorHAnsi" w:hAnsiTheme="minorHAnsi" w:cstheme="minorHAnsi"/>
        <w:i/>
      </w:rPr>
      <w:t xml:space="preserve"> </w:t>
    </w:r>
  </w:p>
  <w:p w:rsidR="00664BAF" w:rsidRPr="005F17F7" w:rsidRDefault="00664BAF" w:rsidP="005F17F7">
    <w:pPr>
      <w:pStyle w:val="Footer"/>
      <w:rPr>
        <w:rFonts w:asciiTheme="minorHAnsi" w:hAnsiTheme="minorHAnsi" w:cstheme="minorHAnsi"/>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B4" w:rsidRDefault="00634DB4" w:rsidP="005E263F">
      <w:r>
        <w:separator/>
      </w:r>
    </w:p>
  </w:footnote>
  <w:footnote w:type="continuationSeparator" w:id="0">
    <w:p w:rsidR="00634DB4" w:rsidRDefault="00634DB4" w:rsidP="005E2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2F6FFD"/>
    <w:multiLevelType w:val="hybridMultilevel"/>
    <w:tmpl w:val="27F2E2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3F"/>
    <w:rsid w:val="00286E45"/>
    <w:rsid w:val="002943CD"/>
    <w:rsid w:val="00312F01"/>
    <w:rsid w:val="00391F22"/>
    <w:rsid w:val="00447D72"/>
    <w:rsid w:val="00507FFB"/>
    <w:rsid w:val="005E263F"/>
    <w:rsid w:val="005F17F7"/>
    <w:rsid w:val="00634DB4"/>
    <w:rsid w:val="00664BAF"/>
    <w:rsid w:val="006B4501"/>
    <w:rsid w:val="00860B40"/>
    <w:rsid w:val="008A260F"/>
    <w:rsid w:val="009F338D"/>
    <w:rsid w:val="00A81059"/>
    <w:rsid w:val="00AE52A1"/>
    <w:rsid w:val="00B462A4"/>
    <w:rsid w:val="00BB64C4"/>
    <w:rsid w:val="00C92502"/>
    <w:rsid w:val="00CB3F46"/>
    <w:rsid w:val="00CD5842"/>
    <w:rsid w:val="00CD798C"/>
    <w:rsid w:val="00E14DA2"/>
    <w:rsid w:val="00E333EF"/>
    <w:rsid w:val="00E56D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71F5889-9558-4FD8-A46B-10D886B3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63F"/>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3F"/>
    <w:pPr>
      <w:tabs>
        <w:tab w:val="center" w:pos="4513"/>
        <w:tab w:val="right" w:pos="9026"/>
      </w:tabs>
    </w:pPr>
  </w:style>
  <w:style w:type="character" w:customStyle="1" w:styleId="HeaderChar">
    <w:name w:val="Header Char"/>
    <w:basedOn w:val="DefaultParagraphFont"/>
    <w:link w:val="Header"/>
    <w:uiPriority w:val="99"/>
    <w:rsid w:val="005E263F"/>
    <w:rPr>
      <w:rFonts w:ascii="Arial" w:eastAsia="Times New Roman" w:hAnsi="Arial" w:cs="Times New Roman"/>
      <w:sz w:val="20"/>
      <w:szCs w:val="20"/>
      <w:lang w:val="en-US"/>
    </w:rPr>
  </w:style>
  <w:style w:type="paragraph" w:styleId="Footer">
    <w:name w:val="footer"/>
    <w:basedOn w:val="Normal"/>
    <w:link w:val="FooterChar"/>
    <w:uiPriority w:val="99"/>
    <w:unhideWhenUsed/>
    <w:rsid w:val="005E263F"/>
    <w:pPr>
      <w:tabs>
        <w:tab w:val="center" w:pos="4513"/>
        <w:tab w:val="right" w:pos="9026"/>
      </w:tabs>
    </w:pPr>
  </w:style>
  <w:style w:type="character" w:customStyle="1" w:styleId="FooterChar">
    <w:name w:val="Footer Char"/>
    <w:basedOn w:val="DefaultParagraphFont"/>
    <w:link w:val="Footer"/>
    <w:uiPriority w:val="99"/>
    <w:rsid w:val="005E263F"/>
    <w:rPr>
      <w:rFonts w:ascii="Arial" w:eastAsia="Times New Roman" w:hAnsi="Arial" w:cs="Times New Roman"/>
      <w:sz w:val="20"/>
      <w:szCs w:val="20"/>
      <w:lang w:val="en-US"/>
    </w:rPr>
  </w:style>
  <w:style w:type="paragraph" w:styleId="Title">
    <w:name w:val="Title"/>
    <w:basedOn w:val="Normal"/>
    <w:next w:val="Normal"/>
    <w:link w:val="TitleChar"/>
    <w:uiPriority w:val="10"/>
    <w:qFormat/>
    <w:rsid w:val="005F17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7F7"/>
    <w:rPr>
      <w:rFonts w:asciiTheme="majorHAnsi" w:eastAsiaTheme="majorEastAsia" w:hAnsiTheme="majorHAnsi" w:cstheme="majorBidi"/>
      <w:spacing w:val="-10"/>
      <w:kern w:val="28"/>
      <w:sz w:val="56"/>
      <w:szCs w:val="56"/>
      <w:lang w:val="en-US"/>
    </w:rPr>
  </w:style>
  <w:style w:type="character" w:styleId="Hyperlink">
    <w:name w:val="Hyperlink"/>
    <w:basedOn w:val="DefaultParagraphFont"/>
    <w:uiPriority w:val="99"/>
    <w:unhideWhenUsed/>
    <w:rsid w:val="005F17F7"/>
    <w:rPr>
      <w:color w:val="0000FF" w:themeColor="hyperlink"/>
      <w:u w:val="single"/>
    </w:rPr>
  </w:style>
  <w:style w:type="paragraph" w:styleId="BalloonText">
    <w:name w:val="Balloon Text"/>
    <w:basedOn w:val="Normal"/>
    <w:link w:val="BalloonTextChar"/>
    <w:uiPriority w:val="99"/>
    <w:semiHidden/>
    <w:unhideWhenUsed/>
    <w:rsid w:val="00E14D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DA2"/>
    <w:rPr>
      <w:rFonts w:ascii="Segoe UI" w:eastAsia="Times New Roman" w:hAnsi="Segoe UI" w:cs="Segoe UI"/>
      <w:sz w:val="18"/>
      <w:szCs w:val="18"/>
      <w:lang w:val="en-US"/>
    </w:rPr>
  </w:style>
  <w:style w:type="table" w:styleId="TableGrid">
    <w:name w:val="Table Grid"/>
    <w:basedOn w:val="TableNormal"/>
    <w:uiPriority w:val="59"/>
    <w:rsid w:val="00664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8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inktank.co.nz/" TargetMode="External"/><Relationship Id="rId12" Type="http://schemas.openxmlformats.org/officeDocument/2006/relationships/hyperlink" Target="https://petercook.com/blog/does-it-make-the-boat-go-faster-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te.frykberg.co.nz/2017/01/09/equity-of-voice-and-why-it-ma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Conflict_of_interest" TargetMode="External"/><Relationship Id="rId4" Type="http://schemas.openxmlformats.org/officeDocument/2006/relationships/webSettings" Target="webSettings.xml"/><Relationship Id="rId9" Type="http://schemas.openxmlformats.org/officeDocument/2006/relationships/hyperlink" Target="http://www.legislation.govt.nz/act/public/1993/0105/latest/DLM320657.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ate@thinktank.co.nz" TargetMode="External"/><Relationship Id="rId1" Type="http://schemas.openxmlformats.org/officeDocument/2006/relationships/hyperlink" Target="https://thinktank.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dc:creator>
  <cp:keywords/>
  <dc:description/>
  <cp:lastModifiedBy>Kate Frykberg</cp:lastModifiedBy>
  <cp:revision>7</cp:revision>
  <cp:lastPrinted>2017-01-08T04:05:00Z</cp:lastPrinted>
  <dcterms:created xsi:type="dcterms:W3CDTF">2017-01-08T03:55:00Z</dcterms:created>
  <dcterms:modified xsi:type="dcterms:W3CDTF">2017-01-09T21:58:00Z</dcterms:modified>
</cp:coreProperties>
</file>